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16DD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208B5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 xml:space="preserve">4.g.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</w:p>
    <w:p w14:paraId="73F4DB39" w14:textId="77777777" w:rsid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B00E3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IV.</w:t>
      </w:r>
      <w:r w:rsidRPr="00097D83">
        <w:rPr>
          <w:rFonts w:ascii="Times New Roman" w:hAnsi="Times New Roman" w:cs="Times New Roman"/>
          <w:sz w:val="24"/>
          <w:szCs w:val="24"/>
        </w:rPr>
        <w:tab/>
        <w:t>QUY TRÌNH TRẢ LẠI, MUA LẠI HÀNG HÓA</w:t>
      </w:r>
    </w:p>
    <w:p w14:paraId="56ADBC96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8A234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A.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Chính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sách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BE38B51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mươi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:</w:t>
      </w:r>
    </w:p>
    <w:p w14:paraId="736487E0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(1)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vẹn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bì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;</w:t>
      </w:r>
    </w:p>
    <w:p w14:paraId="72BD9A54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(2) 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6ED66F64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Trước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sản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phẩm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Mã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C384E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88CE3F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Mã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mã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này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được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cấp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được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chấp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thuận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7E5D0C6B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2544A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đóng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gói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̉,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đầy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địa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chỉ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mặt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:</w:t>
      </w:r>
    </w:p>
    <w:p w14:paraId="1E58789F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1.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tin;</w:t>
      </w:r>
    </w:p>
    <w:p w14:paraId="43182827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2.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vẹn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bì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;</w:t>
      </w:r>
    </w:p>
    <w:p w14:paraId="10C94972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3.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Bản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hóa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hoặc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hóa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151355C3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4.</w:t>
      </w:r>
      <w:r w:rsidRPr="00097D83">
        <w:rPr>
          <w:rFonts w:ascii="Times New Roman" w:hAnsi="Times New Roman" w:cs="Times New Roman"/>
          <w:sz w:val="24"/>
          <w:szCs w:val="24"/>
        </w:rPr>
        <w:tab/>
        <w:t xml:space="preserve">Mã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21CDC7EC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người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phải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là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:</w:t>
      </w:r>
    </w:p>
    <w:p w14:paraId="6E7B7768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1.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có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địa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chỉ,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dịch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điện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thoại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người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NPP; </w:t>
      </w:r>
    </w:p>
    <w:p w14:paraId="11A0C659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sẽ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NPP/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(Sau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5FE5F7A8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tuyến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145AD222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3C1D9E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VI.D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4C492A3D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6391B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B.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99D91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•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NPP/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7B8EBEEE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•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lastRenderedPageBreak/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FA906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•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Namsẽ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5B4408B2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•</w:t>
      </w:r>
      <w:r w:rsidRPr="00097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5C0E735F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4786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280969"/>
    <w:rsid w:val="008B4786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A0F7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2020-05-25T03:18:00Z</dcterms:modified>
</cp:coreProperties>
</file>